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关于对省级以上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科学技术奖获得者奖励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的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实施细则（试行）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山西省支持科技创新若干政策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号）规定，奖励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省科学技术奖和国家科学技术奖的单位，制定本实施细则。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第一完成单位，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省科学技术奖，且在忻州市内注册成立的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独立法人主体。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（二）作为完成单位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新获得国家科学技术奖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且在忻州市内注册成立的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独立法人主体。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（一）对新获得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省科学技术奖的第一完成单位，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科学技术奖奖金额1:1配套奖励。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（二）对新获得国家科学技术奖的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单位，采取“一事一议”方式给予奖励。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和国家科学技术奖</w:t>
      </w:r>
      <w:r>
        <w:rPr>
          <w:rFonts w:hint="eastAsia" w:ascii="仿宋_GB2312" w:hAnsi="仿宋_GB2312" w:eastAsia="仿宋_GB2312" w:cs="仿宋_GB2312"/>
          <w:sz w:val="32"/>
          <w:szCs w:val="32"/>
        </w:rPr>
        <w:t>且符合条件的单位，应当在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和国家科学技术奖</w:t>
      </w:r>
      <w:r>
        <w:rPr>
          <w:rFonts w:hint="eastAsia" w:ascii="仿宋_GB2312" w:hAnsi="仿宋_GB2312" w:eastAsia="仿宋_GB2312" w:cs="仿宋_GB2312"/>
          <w:sz w:val="32"/>
          <w:szCs w:val="32"/>
        </w:rPr>
        <w:t>授奖决定下达之日起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0日内，携带获奖证书原件，向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局基础与成果科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提出奖励奖金申请；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基础与成果科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公示无异议后，按规定程序拨付奖励资金。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本细则适用于201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年及以后年度获得的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和国家科学技术奖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负责解释。实际执行中，如出现新情况新问题，由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会同有关部门共同补充完善。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649E7"/>
    <w:rsid w:val="74D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2019-06-17T03:08:00Z</dcterms:created>
  <dc:creator>Administrator</dc:creator>
  <cp:lastModifiedBy>Administrator</cp:lastModifiedBy>
  <dcterms:modified xsi:type="dcterms:W3CDTF">2019-06-17T03:08:32Z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