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关于对忻州市科技企业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予以奖励的实施细则（试行）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为贯彻落实《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忻州市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人民政府办公厅关于印发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山西省支持科技创新若干政策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忻</w:t>
      </w:r>
      <w:r>
        <w:rPr>
          <w:rFonts w:hint="eastAsia" w:ascii="仿宋_GB2312" w:hAnsi="仿宋_GB2312" w:eastAsia="仿宋_GB2312" w:cs="仿宋_GB2312"/>
          <w:sz w:val="32"/>
          <w:szCs w:val="32"/>
        </w:rPr>
        <w:t>政办发〔201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号）规定，大力推动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我市</w:t>
      </w:r>
      <w:r>
        <w:rPr>
          <w:rFonts w:hint="eastAsia" w:ascii="仿宋_GB2312" w:hAnsi="仿宋_GB2312" w:eastAsia="仿宋_GB2312" w:cs="仿宋_GB2312"/>
          <w:sz w:val="32"/>
          <w:szCs w:val="32"/>
        </w:rPr>
        <w:t>高新技术企业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发展，制定本实施细则。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上年度首次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进入高新技术企业培育库且培育指标得分在70分（含70分）以上的入库企业。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上年度新认定为省级民营科技企业。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进入高新技术企业培育库且培育指标得分在70分</w:t>
      </w:r>
      <w:r>
        <w:rPr>
          <w:rFonts w:hint="eastAsia" w:ascii="仿宋_GB2312" w:hAnsi="仿宋_GB2312" w:eastAsia="仿宋_GB2312" w:cs="仿宋_GB2312"/>
          <w:sz w:val="32"/>
          <w:szCs w:val="32"/>
        </w:rPr>
        <w:t>（含70分）以上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的入库企业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一次性奖励10万元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首次新认定为省级民营科技企业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一次性奖励1万元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《高新技术企业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培育库入库企业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奖励资金申请表》。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省级民营科技企业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奖励资金申请表》。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第五条申报程序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每年由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市科学技术局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发布通知，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将申报材料提交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各县（市、区）教育科技局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按所属业务类别</w:t>
      </w:r>
      <w:r>
        <w:rPr>
          <w:rFonts w:hint="eastAsia" w:ascii="仿宋_GB2312" w:hAnsi="仿宋_GB2312" w:eastAsia="仿宋_GB2312" w:cs="仿宋_GB2312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科室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科室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励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报局党组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公示无异议后，按规定程序拨付资金。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 在上年度认定后发生过重大安全、重大质量事故或严重环境违法行为的企业不予奖励；存在科研诚信不端行为的企业不予奖励；纳入失信被执行人名单的企业不予奖励。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本细则适用于201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年及以后年度认定的事项。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本细则由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负责解释。实际执行中，如出现新情况新问题，由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会同有关部门共同补充完善。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D03FD"/>
    <w:rsid w:val="31ED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2019-06-17T03:09:00Z</dcterms:created>
  <dc:creator>Administrator</dc:creator>
  <cp:lastModifiedBy>Administrator</cp:lastModifiedBy>
  <dcterms:modified xsi:type="dcterms:W3CDTF">2019-06-17T03:09:18Z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