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eastAsia="FangSong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报告撰写提纲建议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一、工作总结报告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1、项目实施的主要内容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2、项目目标任务及完成情况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3、项目实施的产学研合作情况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、项目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取得的主要成果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及应用情况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（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论述主要解决的关键技术与创新点，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项目实施至今所取得的成果。附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成果、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专利、技术标准、论文专著、平台建设、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产品测试报告、用户使用报告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推广应用证明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等证明材料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项目实施取得的成效情况（论述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对提升企业创新能力和市场竞争力的作用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对相关产业转型升级和周边地区的辐射带动作用等）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6、项目实施的相关经验和建议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二、经费决算报告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  <w:t>1、财政经费实际到位、使用情况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（1）财政经费实际到位、使用情况；项目执行过程中发生的预算调整及报批情况。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（2）用表格详细列出财政经费实际支出科目的具体明细，包括名称、单价、数量及总金额（财政经费支出达1万元的科目以上需提供有效凭证）。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（3）项目执行期间财政经费管理和使用中遇到的问题、采取的措施及相关经验和建议。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  <w:t>2、自筹经费实际到位、使用情况</w:t>
      </w:r>
    </w:p>
    <w:p>
      <w:pPr>
        <w:ind w:firstLine="640" w:firstLineChars="200"/>
        <w:jc w:val="left"/>
        <w:rPr>
          <w:rFonts w:hint="default" w:ascii="Times New Roman" w:hAnsi="Times New Roman" w:eastAsia="FangSong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kern w:val="0"/>
          <w:sz w:val="32"/>
          <w:szCs w:val="32"/>
          <w:lang w:val="en-US" w:eastAsia="zh-CN"/>
        </w:rPr>
        <w:t>自筹经费实际到位、使用情况，用表格详细列出经费实际支出科目的具体明细，包括名称、单价、数量及总金额。若自筹经费未能按时足额到位请说明原因。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1405"/>
    <w:rsid w:val="FFFA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2025-03-04T17:05:00Z</dcterms:created>
  <dc:creator>kylin</dc:creator>
  <cp:lastModifiedBy>kylin</cp:lastModifiedBy>
  <dcterms:modified xsi:type="dcterms:W3CDTF">2025-03-04T17:05:22Z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